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6DEA8" w14:textId="77777777" w:rsidR="005606CA" w:rsidRDefault="005606CA" w:rsidP="005606CA">
      <w:pPr>
        <w:spacing w:after="0"/>
        <w:jc w:val="center"/>
        <w:rPr>
          <w:rFonts w:ascii="Arial" w:hAnsi="Arial" w:cs="Arial"/>
          <w:b/>
          <w:sz w:val="44"/>
          <w:szCs w:val="44"/>
        </w:rPr>
      </w:pPr>
    </w:p>
    <w:p w14:paraId="4D2E836C" w14:textId="3E1DF6DC" w:rsidR="0071316B" w:rsidRPr="00CB3BDF" w:rsidRDefault="0071316B" w:rsidP="0071316B">
      <w:pPr>
        <w:spacing w:after="0"/>
        <w:jc w:val="center"/>
        <w:rPr>
          <w:rFonts w:ascii="Arial" w:hAnsi="Arial" w:cs="Arial"/>
          <w:color w:val="FF0000"/>
          <w:sz w:val="28"/>
          <w:szCs w:val="24"/>
          <w:lang w:val="cs-CZ"/>
        </w:rPr>
      </w:pPr>
      <w:proofErr w:type="spellStart"/>
      <w:r>
        <w:rPr>
          <w:rFonts w:ascii="Arial" w:hAnsi="Arial" w:cs="Arial"/>
          <w:b/>
          <w:color w:val="0000CC"/>
          <w:sz w:val="32"/>
          <w:szCs w:val="28"/>
          <w:lang w:val="cs-CZ"/>
        </w:rPr>
        <w:t>Programme</w:t>
      </w:r>
      <w:proofErr w:type="spellEnd"/>
      <w:r w:rsidRPr="002470B1">
        <w:rPr>
          <w:rFonts w:ascii="Arial" w:hAnsi="Arial" w:cs="Arial"/>
          <w:b/>
          <w:color w:val="0000CC"/>
          <w:sz w:val="32"/>
          <w:szCs w:val="28"/>
        </w:rPr>
        <w:t xml:space="preserve"> of the </w:t>
      </w:r>
      <w:r w:rsidR="00FD4E89">
        <w:rPr>
          <w:rFonts w:ascii="Arial" w:hAnsi="Arial" w:cs="Arial"/>
          <w:b/>
          <w:color w:val="0000CC"/>
          <w:sz w:val="32"/>
          <w:szCs w:val="28"/>
        </w:rPr>
        <w:t>Workshop</w:t>
      </w:r>
      <w:r w:rsidRPr="002470B1">
        <w:rPr>
          <w:rFonts w:ascii="Arial" w:hAnsi="Arial" w:cs="Arial"/>
          <w:b/>
          <w:color w:val="0000CC"/>
          <w:sz w:val="32"/>
          <w:szCs w:val="28"/>
        </w:rPr>
        <w:t xml:space="preserve">, </w:t>
      </w:r>
      <w:r w:rsidR="00876240">
        <w:rPr>
          <w:rFonts w:ascii="Arial" w:hAnsi="Arial" w:cs="Arial"/>
          <w:b/>
          <w:color w:val="0000CC"/>
          <w:sz w:val="32"/>
          <w:szCs w:val="28"/>
        </w:rPr>
        <w:t>29 Feb 2024</w:t>
      </w:r>
      <w:r w:rsidRPr="002470B1">
        <w:rPr>
          <w:rFonts w:ascii="Arial" w:hAnsi="Arial" w:cs="Arial"/>
          <w:b/>
          <w:color w:val="002060"/>
          <w:sz w:val="32"/>
          <w:szCs w:val="28"/>
        </w:rPr>
        <w:br/>
      </w:r>
      <w:r w:rsidR="00DC1A25" w:rsidRPr="002A5110">
        <w:rPr>
          <w:rFonts w:ascii="Arial" w:hAnsi="Arial" w:cs="Arial"/>
          <w:b/>
          <w:color w:val="FF0000"/>
          <w:sz w:val="28"/>
          <w:szCs w:val="24"/>
        </w:rPr>
        <w:t>Topic:</w:t>
      </w:r>
      <w:r w:rsidR="00DC1A25" w:rsidRPr="002A5110">
        <w:rPr>
          <w:rFonts w:ascii="Arial" w:hAnsi="Arial" w:cs="Arial"/>
          <w:color w:val="FF0000"/>
          <w:sz w:val="28"/>
          <w:szCs w:val="24"/>
        </w:rPr>
        <w:t xml:space="preserve"> </w:t>
      </w:r>
      <w:r w:rsidR="009C6956">
        <w:rPr>
          <w:rFonts w:ascii="Arial" w:hAnsi="Arial" w:cs="Arial"/>
          <w:b/>
          <w:color w:val="FF0000"/>
          <w:sz w:val="28"/>
          <w:szCs w:val="24"/>
        </w:rPr>
        <w:t>Bank Guarantees</w:t>
      </w:r>
      <w:r w:rsidR="00DC1A25" w:rsidRPr="002A5110">
        <w:rPr>
          <w:rFonts w:ascii="Arial" w:hAnsi="Arial" w:cs="Arial"/>
          <w:b/>
          <w:color w:val="FF0000"/>
          <w:sz w:val="28"/>
          <w:szCs w:val="24"/>
        </w:rPr>
        <w:t xml:space="preserve">, </w:t>
      </w:r>
      <w:r w:rsidR="009C6956">
        <w:rPr>
          <w:rFonts w:ascii="Arial" w:hAnsi="Arial" w:cs="Arial"/>
          <w:b/>
          <w:color w:val="FF0000"/>
          <w:sz w:val="28"/>
          <w:szCs w:val="24"/>
        </w:rPr>
        <w:t xml:space="preserve">URDG 758 in practice, </w:t>
      </w:r>
      <w:r w:rsidR="00DC1A25" w:rsidRPr="002A5110">
        <w:rPr>
          <w:rFonts w:ascii="Arial" w:hAnsi="Arial" w:cs="Arial"/>
          <w:b/>
          <w:color w:val="FF0000"/>
          <w:sz w:val="28"/>
          <w:szCs w:val="24"/>
        </w:rPr>
        <w:t xml:space="preserve">Questions &amp; Answers </w:t>
      </w:r>
    </w:p>
    <w:p w14:paraId="0C74B7D4" w14:textId="77777777" w:rsidR="0071316B" w:rsidRPr="00E2278B" w:rsidRDefault="0071316B" w:rsidP="0071316B">
      <w:pPr>
        <w:spacing w:after="0"/>
        <w:ind w:left="2160" w:hanging="2160"/>
        <w:jc w:val="both"/>
        <w:rPr>
          <w:rFonts w:ascii="Tahoma" w:hAnsi="Tahoma" w:cs="Tahoma"/>
          <w:b/>
          <w:bCs/>
          <w:sz w:val="10"/>
          <w:szCs w:val="24"/>
        </w:rPr>
      </w:pPr>
    </w:p>
    <w:p w14:paraId="74BD0193" w14:textId="77777777" w:rsidR="0071316B" w:rsidRPr="000B235F" w:rsidRDefault="0071316B" w:rsidP="0071316B">
      <w:pPr>
        <w:spacing w:after="0"/>
        <w:ind w:left="2160" w:hanging="2160"/>
        <w:jc w:val="both"/>
        <w:rPr>
          <w:rFonts w:ascii="Tahoma" w:hAnsi="Tahoma" w:cs="Tahoma"/>
          <w:sz w:val="24"/>
        </w:rPr>
      </w:pPr>
    </w:p>
    <w:p w14:paraId="11F26223" w14:textId="77777777" w:rsidR="0040792F" w:rsidRPr="00FD4E89" w:rsidRDefault="0071316B" w:rsidP="0040792F">
      <w:pPr>
        <w:spacing w:after="0"/>
        <w:ind w:left="2160" w:hanging="2160"/>
        <w:jc w:val="both"/>
        <w:rPr>
          <w:rFonts w:ascii="Tahoma" w:hAnsi="Tahoma" w:cs="Tahoma"/>
          <w:b/>
          <w:sz w:val="24"/>
          <w:szCs w:val="24"/>
        </w:rPr>
      </w:pPr>
      <w:r w:rsidRPr="000B235F">
        <w:rPr>
          <w:rFonts w:ascii="Tahoma" w:hAnsi="Tahoma" w:cs="Tahoma"/>
          <w:sz w:val="24"/>
        </w:rPr>
        <w:t>09:00 – 10:30</w:t>
      </w:r>
      <w:r w:rsidR="0040792F">
        <w:rPr>
          <w:rFonts w:ascii="Tahoma" w:hAnsi="Tahoma" w:cs="Tahoma"/>
          <w:sz w:val="24"/>
        </w:rPr>
        <w:tab/>
      </w:r>
      <w:r w:rsidR="009C6956">
        <w:rPr>
          <w:rFonts w:ascii="Tahoma" w:hAnsi="Tahoma" w:cs="Tahoma"/>
          <w:b/>
          <w:bCs/>
          <w:sz w:val="24"/>
          <w:lang w:eastAsia="cs-CZ" w:bidi="hi-IN"/>
        </w:rPr>
        <w:t>Guarantee: abstract v. accessory – which type it is?</w:t>
      </w:r>
    </w:p>
    <w:p w14:paraId="1AAB8467" w14:textId="77777777" w:rsidR="0040792F"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Main aspects of abstract and accessory guarantee</w:t>
      </w:r>
      <w:r w:rsidR="00D22215">
        <w:rPr>
          <w:rFonts w:ascii="Tahoma" w:hAnsi="Tahoma" w:cs="Tahoma"/>
          <w:sz w:val="24"/>
          <w:szCs w:val="24"/>
        </w:rPr>
        <w:t>s</w:t>
      </w:r>
    </w:p>
    <w:p w14:paraId="410312EC" w14:textId="77777777" w:rsidR="0040792F"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What type of guarantee is it? Examples of problematic cases</w:t>
      </w:r>
    </w:p>
    <w:p w14:paraId="2DF9C7B8" w14:textId="77777777" w:rsidR="0040792F"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 xml:space="preserve">Interesting court decisions regarding character of </w:t>
      </w:r>
      <w:r w:rsidR="00AF211C">
        <w:rPr>
          <w:rFonts w:ascii="Tahoma" w:hAnsi="Tahoma" w:cs="Tahoma"/>
          <w:sz w:val="24"/>
          <w:szCs w:val="24"/>
        </w:rPr>
        <w:t xml:space="preserve">                                    </w:t>
      </w:r>
      <w:r>
        <w:rPr>
          <w:rFonts w:ascii="Tahoma" w:hAnsi="Tahoma" w:cs="Tahoma"/>
          <w:sz w:val="24"/>
          <w:szCs w:val="24"/>
        </w:rPr>
        <w:t>the guarantee</w:t>
      </w:r>
    </w:p>
    <w:p w14:paraId="626FAB78" w14:textId="77777777" w:rsidR="009C6956" w:rsidRPr="00FD4E89" w:rsidRDefault="009C6956"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Practical experience, examples</w:t>
      </w:r>
    </w:p>
    <w:p w14:paraId="7111FB53" w14:textId="77777777" w:rsidR="0040792F" w:rsidRDefault="0040792F" w:rsidP="0040792F">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Case Stud</w:t>
      </w:r>
      <w:r>
        <w:rPr>
          <w:rFonts w:ascii="Tahoma" w:hAnsi="Tahoma" w:cs="Tahoma"/>
          <w:sz w:val="24"/>
          <w:szCs w:val="24"/>
        </w:rPr>
        <w:t>ies</w:t>
      </w:r>
      <w:r w:rsidRPr="00FD4E89">
        <w:rPr>
          <w:rFonts w:ascii="Tahoma" w:hAnsi="Tahoma" w:cs="Tahoma"/>
          <w:sz w:val="24"/>
          <w:szCs w:val="24"/>
        </w:rPr>
        <w:t xml:space="preserve"> – text</w:t>
      </w:r>
      <w:r w:rsidR="00D22215">
        <w:rPr>
          <w:rFonts w:ascii="Tahoma" w:hAnsi="Tahoma" w:cs="Tahoma"/>
          <w:sz w:val="24"/>
          <w:szCs w:val="24"/>
        </w:rPr>
        <w:t>s</w:t>
      </w:r>
      <w:r w:rsidRPr="00FD4E89">
        <w:rPr>
          <w:rFonts w:ascii="Tahoma" w:hAnsi="Tahoma" w:cs="Tahoma"/>
          <w:sz w:val="24"/>
          <w:szCs w:val="24"/>
        </w:rPr>
        <w:t xml:space="preserve"> of the guarante</w:t>
      </w:r>
      <w:r w:rsidR="009C6956">
        <w:rPr>
          <w:rFonts w:ascii="Tahoma" w:hAnsi="Tahoma" w:cs="Tahoma"/>
          <w:sz w:val="24"/>
          <w:szCs w:val="24"/>
        </w:rPr>
        <w:t>e</w:t>
      </w:r>
    </w:p>
    <w:p w14:paraId="59E38C19" w14:textId="77777777" w:rsidR="0040792F" w:rsidRPr="00FD4E89" w:rsidRDefault="0040792F" w:rsidP="0040792F">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0982791F" w14:textId="77777777" w:rsidR="0071316B" w:rsidRDefault="0071316B" w:rsidP="0040792F">
      <w:pPr>
        <w:pStyle w:val="Tekstpodstawowywcity"/>
        <w:ind w:left="2160" w:hanging="2160"/>
        <w:rPr>
          <w:rFonts w:ascii="Tahoma" w:hAnsi="Tahoma" w:cs="Tahoma"/>
          <w:b w:val="0"/>
          <w:sz w:val="24"/>
        </w:rPr>
      </w:pPr>
    </w:p>
    <w:p w14:paraId="6D6D4C29" w14:textId="77777777" w:rsidR="0071316B" w:rsidRPr="00E65BBB" w:rsidRDefault="0071316B" w:rsidP="0071316B">
      <w:pPr>
        <w:ind w:left="1416" w:hanging="1416"/>
        <w:jc w:val="both"/>
        <w:rPr>
          <w:rFonts w:ascii="Tahoma" w:hAnsi="Tahoma" w:cs="Tahoma"/>
          <w:b/>
          <w:bCs/>
          <w:i/>
          <w:iCs/>
          <w:sz w:val="24"/>
          <w:szCs w:val="24"/>
        </w:rPr>
      </w:pPr>
      <w:r w:rsidRPr="00E65BBB">
        <w:rPr>
          <w:rFonts w:ascii="Tahoma" w:hAnsi="Tahoma" w:cs="Tahoma"/>
          <w:sz w:val="24"/>
          <w:szCs w:val="24"/>
        </w:rPr>
        <w:t>1</w:t>
      </w:r>
      <w:r>
        <w:rPr>
          <w:rFonts w:ascii="Tahoma" w:hAnsi="Tahoma" w:cs="Tahoma"/>
          <w:sz w:val="24"/>
          <w:szCs w:val="24"/>
        </w:rPr>
        <w:t>0</w:t>
      </w:r>
      <w:r w:rsidRPr="00E65BBB">
        <w:rPr>
          <w:rFonts w:ascii="Tahoma" w:hAnsi="Tahoma" w:cs="Tahoma"/>
          <w:sz w:val="24"/>
          <w:szCs w:val="24"/>
        </w:rPr>
        <w:t>:</w:t>
      </w:r>
      <w:r>
        <w:rPr>
          <w:rFonts w:ascii="Tahoma" w:hAnsi="Tahoma" w:cs="Tahoma"/>
          <w:sz w:val="24"/>
          <w:szCs w:val="24"/>
        </w:rPr>
        <w:t>30 – 10</w:t>
      </w:r>
      <w:r w:rsidRPr="00E65BBB">
        <w:rPr>
          <w:rFonts w:ascii="Tahoma" w:hAnsi="Tahoma" w:cs="Tahoma"/>
          <w:sz w:val="24"/>
          <w:szCs w:val="24"/>
        </w:rPr>
        <w:t>:</w:t>
      </w:r>
      <w:r>
        <w:rPr>
          <w:rFonts w:ascii="Tahoma" w:hAnsi="Tahoma" w:cs="Tahoma"/>
          <w:sz w:val="24"/>
          <w:szCs w:val="24"/>
        </w:rPr>
        <w:t>5</w:t>
      </w:r>
      <w:r w:rsidRPr="00E65BBB">
        <w:rPr>
          <w:rFonts w:ascii="Tahoma" w:hAnsi="Tahoma" w:cs="Tahoma"/>
          <w:sz w:val="24"/>
          <w:szCs w:val="24"/>
        </w:rPr>
        <w:t xml:space="preserve">0  </w:t>
      </w:r>
      <w:r w:rsidRPr="00E65BBB">
        <w:rPr>
          <w:rFonts w:ascii="Tahoma" w:hAnsi="Tahoma" w:cs="Tahoma"/>
          <w:sz w:val="24"/>
          <w:szCs w:val="24"/>
        </w:rPr>
        <w:tab/>
      </w:r>
      <w:r w:rsidR="00FD4E89" w:rsidRPr="00FD4E89">
        <w:rPr>
          <w:rFonts w:ascii="Tahoma" w:hAnsi="Tahoma" w:cs="Tahoma"/>
          <w:b/>
          <w:bCs/>
          <w:i/>
          <w:sz w:val="24"/>
          <w:lang w:eastAsia="cs-CZ" w:bidi="hi-IN"/>
        </w:rPr>
        <w:t>Tea/Coffee Break</w:t>
      </w:r>
    </w:p>
    <w:p w14:paraId="150FC00D" w14:textId="77777777" w:rsidR="0021224F" w:rsidRPr="00FD4E89" w:rsidRDefault="0071316B" w:rsidP="0021224F">
      <w:pPr>
        <w:spacing w:after="0"/>
        <w:ind w:left="2160" w:hanging="2160"/>
        <w:jc w:val="both"/>
        <w:rPr>
          <w:rFonts w:ascii="Tahoma" w:hAnsi="Tahoma" w:cs="Tahoma"/>
          <w:b/>
          <w:sz w:val="24"/>
          <w:szCs w:val="24"/>
        </w:rPr>
      </w:pPr>
      <w:r w:rsidRPr="00DC1A25">
        <w:rPr>
          <w:rFonts w:ascii="Tahoma" w:hAnsi="Tahoma" w:cs="Tahoma"/>
          <w:sz w:val="24"/>
        </w:rPr>
        <w:t>10:50 - 12:00</w:t>
      </w:r>
      <w:r w:rsidRPr="00344C5F">
        <w:rPr>
          <w:rFonts w:ascii="Tahoma" w:hAnsi="Tahoma" w:cs="Tahoma"/>
          <w:sz w:val="24"/>
        </w:rPr>
        <w:tab/>
      </w:r>
      <w:r w:rsidR="0040792F">
        <w:rPr>
          <w:rFonts w:ascii="Tahoma" w:hAnsi="Tahoma" w:cs="Tahoma"/>
          <w:b/>
          <w:bCs/>
          <w:sz w:val="24"/>
          <w:lang w:eastAsia="cs-CZ" w:bidi="hi-IN"/>
        </w:rPr>
        <w:t>Guarantee</w:t>
      </w:r>
      <w:r w:rsidR="009C6956">
        <w:rPr>
          <w:rFonts w:ascii="Tahoma" w:hAnsi="Tahoma" w:cs="Tahoma"/>
          <w:b/>
          <w:bCs/>
          <w:sz w:val="24"/>
          <w:lang w:eastAsia="cs-CZ" w:bidi="hi-IN"/>
        </w:rPr>
        <w:t>s in practice - disputes</w:t>
      </w:r>
    </w:p>
    <w:p w14:paraId="18476FA4" w14:textId="77777777" w:rsidR="0021224F" w:rsidRDefault="009C6956" w:rsidP="000721C8">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Interesting court and arbitration decisions regarding domestic and international guarantees</w:t>
      </w:r>
    </w:p>
    <w:p w14:paraId="0792B3E8" w14:textId="77777777" w:rsidR="0040792F" w:rsidRDefault="009C6956" w:rsidP="000721C8">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Disputes regarding demands, enfo</w:t>
      </w:r>
      <w:r w:rsidR="00D22215">
        <w:rPr>
          <w:rFonts w:ascii="Tahoma" w:hAnsi="Tahoma" w:cs="Tahoma"/>
          <w:sz w:val="24"/>
          <w:szCs w:val="24"/>
        </w:rPr>
        <w:t>r</w:t>
      </w:r>
      <w:r>
        <w:rPr>
          <w:rFonts w:ascii="Tahoma" w:hAnsi="Tahoma" w:cs="Tahoma"/>
          <w:sz w:val="24"/>
          <w:szCs w:val="24"/>
        </w:rPr>
        <w:t>cement, extension, reduction, termination, etc.</w:t>
      </w:r>
    </w:p>
    <w:p w14:paraId="220C9024"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57028C25" w14:textId="77777777" w:rsidR="009C6956" w:rsidRDefault="009C6956" w:rsidP="009C6956">
      <w:pPr>
        <w:spacing w:after="0" w:line="240" w:lineRule="auto"/>
        <w:jc w:val="both"/>
        <w:rPr>
          <w:rFonts w:ascii="Tahoma" w:hAnsi="Tahoma" w:cs="Tahoma"/>
          <w:sz w:val="24"/>
          <w:szCs w:val="24"/>
        </w:rPr>
      </w:pPr>
    </w:p>
    <w:p w14:paraId="17C743D5" w14:textId="77777777" w:rsidR="0071316B" w:rsidRDefault="0071316B" w:rsidP="0071316B">
      <w:pPr>
        <w:spacing w:after="0" w:line="240" w:lineRule="auto"/>
        <w:jc w:val="both"/>
        <w:rPr>
          <w:rFonts w:ascii="Tahoma" w:hAnsi="Tahoma" w:cs="Tahoma"/>
          <w:b/>
          <w:i/>
          <w:sz w:val="24"/>
          <w:szCs w:val="24"/>
        </w:rPr>
      </w:pPr>
      <w:r w:rsidRPr="00E65BBB">
        <w:rPr>
          <w:rFonts w:ascii="Tahoma" w:hAnsi="Tahoma" w:cs="Tahoma"/>
          <w:sz w:val="24"/>
          <w:szCs w:val="24"/>
        </w:rPr>
        <w:t>1</w:t>
      </w:r>
      <w:r>
        <w:rPr>
          <w:rFonts w:ascii="Tahoma" w:hAnsi="Tahoma" w:cs="Tahoma"/>
          <w:sz w:val="24"/>
          <w:szCs w:val="24"/>
        </w:rPr>
        <w:t>2</w:t>
      </w:r>
      <w:r w:rsidRPr="00E65BBB">
        <w:rPr>
          <w:rFonts w:ascii="Tahoma" w:hAnsi="Tahoma" w:cs="Tahoma"/>
          <w:sz w:val="24"/>
          <w:szCs w:val="24"/>
        </w:rPr>
        <w:t>:00 - 1</w:t>
      </w:r>
      <w:r>
        <w:rPr>
          <w:rFonts w:ascii="Tahoma" w:hAnsi="Tahoma" w:cs="Tahoma"/>
          <w:sz w:val="24"/>
          <w:szCs w:val="24"/>
        </w:rPr>
        <w:t>3</w:t>
      </w:r>
      <w:r w:rsidRPr="00E65BBB">
        <w:rPr>
          <w:rFonts w:ascii="Tahoma" w:hAnsi="Tahoma" w:cs="Tahoma"/>
          <w:sz w:val="24"/>
          <w:szCs w:val="24"/>
        </w:rPr>
        <w:t xml:space="preserve">:00 </w:t>
      </w:r>
      <w:r w:rsidRPr="00E65BBB">
        <w:rPr>
          <w:rFonts w:ascii="Tahoma" w:hAnsi="Tahoma" w:cs="Tahoma"/>
          <w:sz w:val="24"/>
          <w:szCs w:val="24"/>
        </w:rPr>
        <w:tab/>
      </w:r>
      <w:r w:rsidRPr="00E65BBB">
        <w:rPr>
          <w:rFonts w:ascii="Tahoma" w:hAnsi="Tahoma" w:cs="Tahoma"/>
          <w:b/>
          <w:i/>
          <w:sz w:val="24"/>
          <w:szCs w:val="24"/>
        </w:rPr>
        <w:t xml:space="preserve">Lunch </w:t>
      </w:r>
      <w:r w:rsidR="00FD4E89">
        <w:rPr>
          <w:rFonts w:ascii="Tahoma" w:hAnsi="Tahoma" w:cs="Tahoma"/>
          <w:b/>
          <w:i/>
          <w:sz w:val="24"/>
          <w:szCs w:val="24"/>
        </w:rPr>
        <w:t xml:space="preserve"> </w:t>
      </w:r>
    </w:p>
    <w:p w14:paraId="5281F46E" w14:textId="77777777" w:rsidR="0071316B" w:rsidRDefault="0071316B" w:rsidP="0071316B">
      <w:pPr>
        <w:spacing w:after="0" w:line="240" w:lineRule="auto"/>
        <w:jc w:val="both"/>
        <w:rPr>
          <w:rFonts w:ascii="Tahoma" w:hAnsi="Tahoma" w:cs="Tahoma"/>
          <w:b/>
          <w:i/>
          <w:sz w:val="24"/>
          <w:szCs w:val="24"/>
        </w:rPr>
      </w:pPr>
    </w:p>
    <w:p w14:paraId="5E8B06B0" w14:textId="77777777" w:rsidR="009C6956" w:rsidRPr="00FD4E89" w:rsidRDefault="00FD4E89" w:rsidP="009C6956">
      <w:pPr>
        <w:spacing w:after="0"/>
        <w:ind w:left="2160" w:hanging="2160"/>
        <w:jc w:val="both"/>
        <w:rPr>
          <w:rFonts w:ascii="Tahoma" w:hAnsi="Tahoma" w:cs="Tahoma"/>
          <w:b/>
          <w:sz w:val="24"/>
          <w:szCs w:val="24"/>
        </w:rPr>
      </w:pPr>
      <w:r w:rsidRPr="00FD4E89">
        <w:rPr>
          <w:rFonts w:ascii="Tahoma" w:hAnsi="Tahoma" w:cs="Tahoma"/>
          <w:bCs/>
          <w:sz w:val="24"/>
          <w:lang w:eastAsia="cs-CZ" w:bidi="hi-IN"/>
        </w:rPr>
        <w:t>13:30 - 15:00</w:t>
      </w:r>
      <w:r w:rsidRPr="00FD4E89">
        <w:rPr>
          <w:rFonts w:ascii="Tahoma" w:hAnsi="Tahoma" w:cs="Tahoma"/>
          <w:bCs/>
          <w:sz w:val="24"/>
          <w:lang w:eastAsia="cs-CZ" w:bidi="hi-IN"/>
        </w:rPr>
        <w:tab/>
      </w:r>
      <w:r w:rsidR="009C6956" w:rsidRPr="00FD4E89">
        <w:rPr>
          <w:rFonts w:ascii="Tahoma" w:hAnsi="Tahoma" w:cs="Tahoma"/>
          <w:b/>
          <w:bCs/>
          <w:sz w:val="24"/>
          <w:lang w:eastAsia="cs-CZ" w:bidi="hi-IN"/>
        </w:rPr>
        <w:t>Bank Guarantees, ICC Rules for Demand G</w:t>
      </w:r>
      <w:r w:rsidR="009C6956" w:rsidRPr="00FD4E89">
        <w:rPr>
          <w:rFonts w:ascii="Tahoma" w:hAnsi="Tahoma" w:cs="Tahoma"/>
          <w:b/>
          <w:sz w:val="24"/>
          <w:szCs w:val="24"/>
        </w:rPr>
        <w:t>uarantees – URDG 758</w:t>
      </w:r>
    </w:p>
    <w:p w14:paraId="168C68E7"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 xml:space="preserve">URDG 758 – </w:t>
      </w:r>
      <w:r>
        <w:rPr>
          <w:rFonts w:ascii="Tahoma" w:hAnsi="Tahoma" w:cs="Tahoma"/>
          <w:sz w:val="24"/>
          <w:szCs w:val="24"/>
        </w:rPr>
        <w:t>rules which are often misunderstood or possibly unclear to some users</w:t>
      </w:r>
    </w:p>
    <w:p w14:paraId="23A12D07" w14:textId="77777777" w:rsidR="009C6956"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Clauses regarding coming into force, reduction</w:t>
      </w:r>
      <w:r w:rsidR="00D22215">
        <w:rPr>
          <w:rFonts w:ascii="Tahoma" w:hAnsi="Tahoma" w:cs="Tahoma"/>
          <w:sz w:val="24"/>
          <w:szCs w:val="24"/>
        </w:rPr>
        <w:t xml:space="preserve"> of amount</w:t>
      </w:r>
    </w:p>
    <w:p w14:paraId="7949277A" w14:textId="77777777" w:rsidR="00D22215" w:rsidRPr="00D22215" w:rsidRDefault="00D22215" w:rsidP="00AE583B">
      <w:pPr>
        <w:numPr>
          <w:ilvl w:val="1"/>
          <w:numId w:val="14"/>
        </w:numPr>
        <w:spacing w:after="0" w:line="240" w:lineRule="auto"/>
        <w:ind w:left="3595" w:hanging="357"/>
        <w:jc w:val="both"/>
        <w:rPr>
          <w:rFonts w:ascii="Tahoma" w:hAnsi="Tahoma" w:cs="Tahoma"/>
          <w:sz w:val="24"/>
          <w:szCs w:val="24"/>
        </w:rPr>
      </w:pPr>
      <w:r w:rsidRPr="00D22215">
        <w:rPr>
          <w:rFonts w:ascii="Tahoma" w:hAnsi="Tahoma" w:cs="Tahoma"/>
          <w:sz w:val="24"/>
          <w:szCs w:val="24"/>
        </w:rPr>
        <w:t>Clauses regarding termination, extension</w:t>
      </w:r>
    </w:p>
    <w:p w14:paraId="067C6D88"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Main issues, Practice, Experience with the rules</w:t>
      </w:r>
    </w:p>
    <w:p w14:paraId="6E82B7C5" w14:textId="77777777" w:rsidR="009C6956" w:rsidRDefault="009C6956" w:rsidP="009C6956">
      <w:pPr>
        <w:numPr>
          <w:ilvl w:val="1"/>
          <w:numId w:val="14"/>
        </w:numPr>
        <w:spacing w:after="0" w:line="240" w:lineRule="auto"/>
        <w:ind w:left="3595" w:hanging="357"/>
        <w:jc w:val="both"/>
        <w:rPr>
          <w:rFonts w:ascii="Tahoma" w:hAnsi="Tahoma" w:cs="Tahoma"/>
          <w:sz w:val="24"/>
          <w:szCs w:val="24"/>
        </w:rPr>
      </w:pPr>
      <w:r w:rsidRPr="00FD4E89">
        <w:rPr>
          <w:rFonts w:ascii="Tahoma" w:hAnsi="Tahoma" w:cs="Tahoma"/>
          <w:sz w:val="24"/>
          <w:szCs w:val="24"/>
        </w:rPr>
        <w:t>Advanced Case Stud</w:t>
      </w:r>
      <w:r>
        <w:rPr>
          <w:rFonts w:ascii="Tahoma" w:hAnsi="Tahoma" w:cs="Tahoma"/>
          <w:sz w:val="24"/>
          <w:szCs w:val="24"/>
        </w:rPr>
        <w:t>ies</w:t>
      </w:r>
      <w:r w:rsidRPr="00FD4E89">
        <w:rPr>
          <w:rFonts w:ascii="Tahoma" w:hAnsi="Tahoma" w:cs="Tahoma"/>
          <w:sz w:val="24"/>
          <w:szCs w:val="24"/>
        </w:rPr>
        <w:t xml:space="preserve"> – text of the guarantee</w:t>
      </w:r>
      <w:r>
        <w:rPr>
          <w:rFonts w:ascii="Tahoma" w:hAnsi="Tahoma" w:cs="Tahoma"/>
          <w:sz w:val="24"/>
          <w:szCs w:val="24"/>
        </w:rPr>
        <w:t>, various clauses</w:t>
      </w:r>
    </w:p>
    <w:p w14:paraId="27D0F7B4" w14:textId="77777777" w:rsidR="009C6956" w:rsidRPr="00FD4E89" w:rsidRDefault="009C6956" w:rsidP="009C6956">
      <w:pPr>
        <w:numPr>
          <w:ilvl w:val="1"/>
          <w:numId w:val="14"/>
        </w:numPr>
        <w:spacing w:after="0" w:line="240" w:lineRule="auto"/>
        <w:ind w:left="3595" w:hanging="357"/>
        <w:jc w:val="both"/>
        <w:rPr>
          <w:rFonts w:ascii="Tahoma" w:hAnsi="Tahoma" w:cs="Tahoma"/>
          <w:sz w:val="24"/>
          <w:szCs w:val="24"/>
        </w:rPr>
      </w:pPr>
      <w:r>
        <w:rPr>
          <w:rFonts w:ascii="Tahoma" w:hAnsi="Tahoma" w:cs="Tahoma"/>
          <w:sz w:val="24"/>
          <w:szCs w:val="24"/>
        </w:rPr>
        <w:t>Discussion</w:t>
      </w:r>
    </w:p>
    <w:p w14:paraId="16BB870A" w14:textId="77777777" w:rsidR="009C6956" w:rsidRDefault="009C6956" w:rsidP="009C6956">
      <w:pPr>
        <w:spacing w:after="0"/>
        <w:ind w:left="2160" w:hanging="2160"/>
        <w:jc w:val="both"/>
        <w:rPr>
          <w:rFonts w:ascii="Tahoma" w:hAnsi="Tahoma" w:cs="Tahoma"/>
          <w:bCs/>
          <w:sz w:val="24"/>
          <w:lang w:eastAsia="cs-CZ" w:bidi="hi-IN"/>
        </w:rPr>
      </w:pPr>
    </w:p>
    <w:p w14:paraId="33384B86" w14:textId="77777777" w:rsidR="00FD4E89" w:rsidRPr="00FD4E89" w:rsidRDefault="00FD4E89" w:rsidP="00D22215">
      <w:pPr>
        <w:spacing w:after="0"/>
        <w:jc w:val="both"/>
        <w:rPr>
          <w:rFonts w:ascii="Tahoma" w:hAnsi="Tahoma" w:cs="Tahoma"/>
          <w:b/>
          <w:bCs/>
          <w:sz w:val="24"/>
          <w:lang w:eastAsia="cs-CZ" w:bidi="hi-IN"/>
        </w:rPr>
      </w:pPr>
      <w:r w:rsidRPr="00FD4E89">
        <w:rPr>
          <w:rFonts w:ascii="Tahoma" w:hAnsi="Tahoma" w:cs="Tahoma"/>
          <w:bCs/>
          <w:sz w:val="24"/>
          <w:lang w:eastAsia="cs-CZ" w:bidi="hi-IN"/>
        </w:rPr>
        <w:t>15:00 - 15:15</w:t>
      </w:r>
      <w:r>
        <w:rPr>
          <w:rFonts w:ascii="Tahoma" w:hAnsi="Tahoma" w:cs="Tahoma"/>
          <w:b/>
          <w:bCs/>
          <w:sz w:val="24"/>
          <w:lang w:eastAsia="cs-CZ" w:bidi="hi-IN"/>
        </w:rPr>
        <w:tab/>
      </w:r>
      <w:r w:rsidRPr="00FD4E89">
        <w:rPr>
          <w:rFonts w:ascii="Tahoma" w:hAnsi="Tahoma" w:cs="Tahoma"/>
          <w:b/>
          <w:bCs/>
          <w:i/>
          <w:sz w:val="24"/>
          <w:lang w:eastAsia="cs-CZ" w:bidi="hi-IN"/>
        </w:rPr>
        <w:t>Tea/Coffee Break</w:t>
      </w:r>
    </w:p>
    <w:p w14:paraId="11B612B3" w14:textId="77777777" w:rsidR="00FD4E89" w:rsidRPr="00FD4E89" w:rsidRDefault="00FD4E89" w:rsidP="00FD4E89">
      <w:pPr>
        <w:spacing w:after="0"/>
        <w:rPr>
          <w:rFonts w:ascii="Tahoma" w:hAnsi="Tahoma" w:cs="Tahoma"/>
          <w:b/>
          <w:bCs/>
          <w:sz w:val="24"/>
          <w:lang w:eastAsia="cs-CZ" w:bidi="hi-IN"/>
        </w:rPr>
      </w:pPr>
    </w:p>
    <w:p w14:paraId="10F8074A" w14:textId="77777777" w:rsidR="00FD4E89" w:rsidRPr="00FD4E89" w:rsidRDefault="00FD4E89" w:rsidP="00FD4E89">
      <w:pPr>
        <w:spacing w:after="0"/>
        <w:ind w:left="2160" w:hanging="2160"/>
        <w:jc w:val="both"/>
        <w:rPr>
          <w:rFonts w:ascii="Tahoma" w:hAnsi="Tahoma" w:cs="Tahoma"/>
          <w:b/>
          <w:sz w:val="24"/>
          <w:szCs w:val="24"/>
        </w:rPr>
      </w:pPr>
      <w:r w:rsidRPr="00FD4E89">
        <w:rPr>
          <w:rFonts w:ascii="Tahoma" w:hAnsi="Tahoma" w:cs="Tahoma"/>
          <w:bCs/>
          <w:sz w:val="24"/>
          <w:lang w:eastAsia="cs-CZ" w:bidi="hi-IN"/>
        </w:rPr>
        <w:t>15:15</w:t>
      </w:r>
      <w:r w:rsidR="00DA62CD">
        <w:rPr>
          <w:rFonts w:ascii="Tahoma" w:hAnsi="Tahoma" w:cs="Tahoma"/>
          <w:bCs/>
          <w:sz w:val="24"/>
          <w:lang w:eastAsia="cs-CZ" w:bidi="hi-IN"/>
        </w:rPr>
        <w:t xml:space="preserve"> </w:t>
      </w:r>
      <w:r w:rsidRPr="00FD4E89">
        <w:rPr>
          <w:rFonts w:ascii="Tahoma" w:hAnsi="Tahoma" w:cs="Tahoma"/>
          <w:bCs/>
          <w:sz w:val="24"/>
          <w:lang w:eastAsia="cs-CZ" w:bidi="hi-IN"/>
        </w:rPr>
        <w:t>-</w:t>
      </w:r>
      <w:r w:rsidR="00DA62CD">
        <w:rPr>
          <w:rFonts w:ascii="Tahoma" w:hAnsi="Tahoma" w:cs="Tahoma"/>
          <w:bCs/>
          <w:sz w:val="24"/>
          <w:lang w:eastAsia="cs-CZ" w:bidi="hi-IN"/>
        </w:rPr>
        <w:t xml:space="preserve"> </w:t>
      </w:r>
      <w:r w:rsidRPr="00FD4E89">
        <w:rPr>
          <w:rFonts w:ascii="Tahoma" w:hAnsi="Tahoma" w:cs="Tahoma"/>
          <w:bCs/>
          <w:sz w:val="24"/>
          <w:lang w:eastAsia="cs-CZ" w:bidi="hi-IN"/>
        </w:rPr>
        <w:t>16:30</w:t>
      </w:r>
      <w:r w:rsidRPr="00FD4E89">
        <w:rPr>
          <w:rFonts w:ascii="Tahoma" w:hAnsi="Tahoma" w:cs="Tahoma"/>
          <w:bCs/>
          <w:sz w:val="24"/>
          <w:lang w:eastAsia="cs-CZ" w:bidi="hi-IN"/>
        </w:rPr>
        <w:tab/>
      </w:r>
      <w:r w:rsidR="004F543B">
        <w:rPr>
          <w:rFonts w:ascii="Tahoma" w:hAnsi="Tahoma" w:cs="Tahoma"/>
          <w:b/>
          <w:bCs/>
          <w:sz w:val="24"/>
          <w:lang w:eastAsia="cs-CZ" w:bidi="hi-IN"/>
        </w:rPr>
        <w:t xml:space="preserve">Demand Guarantees </w:t>
      </w:r>
      <w:r w:rsidR="00D22215">
        <w:rPr>
          <w:rFonts w:ascii="Tahoma" w:hAnsi="Tahoma" w:cs="Tahoma"/>
          <w:b/>
          <w:bCs/>
          <w:sz w:val="24"/>
          <w:lang w:eastAsia="cs-CZ" w:bidi="hi-IN"/>
        </w:rPr>
        <w:t xml:space="preserve">as per URDG 758 </w:t>
      </w:r>
      <w:r w:rsidR="004F543B">
        <w:rPr>
          <w:rFonts w:ascii="Tahoma" w:hAnsi="Tahoma" w:cs="Tahoma"/>
          <w:b/>
          <w:bCs/>
          <w:sz w:val="24"/>
          <w:lang w:eastAsia="cs-CZ" w:bidi="hi-IN"/>
        </w:rPr>
        <w:t>– Case Studies</w:t>
      </w:r>
    </w:p>
    <w:p w14:paraId="163C6672" w14:textId="77777777" w:rsidR="00D22215" w:rsidRDefault="00D22215"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 xml:space="preserve">DOCDEX </w:t>
      </w:r>
      <w:r w:rsidR="004F543B">
        <w:rPr>
          <w:rFonts w:ascii="Tahoma" w:hAnsi="Tahoma" w:cs="Tahoma"/>
          <w:sz w:val="24"/>
          <w:szCs w:val="24"/>
        </w:rPr>
        <w:t>Cases</w:t>
      </w:r>
    </w:p>
    <w:p w14:paraId="2632DE9C" w14:textId="77777777" w:rsidR="004F543B" w:rsidRDefault="00D22215"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 xml:space="preserve">Court decisions on guarantees subject to URDG </w:t>
      </w:r>
    </w:p>
    <w:p w14:paraId="0892CD2F" w14:textId="77777777" w:rsidR="004F543B" w:rsidRPr="00DC1A25" w:rsidRDefault="004F543B" w:rsidP="004F543B">
      <w:pPr>
        <w:numPr>
          <w:ilvl w:val="0"/>
          <w:numId w:val="11"/>
        </w:numPr>
        <w:spacing w:after="0" w:line="240" w:lineRule="auto"/>
        <w:ind w:left="2874" w:hanging="357"/>
        <w:jc w:val="both"/>
        <w:rPr>
          <w:rFonts w:ascii="Tahoma" w:hAnsi="Tahoma" w:cs="Tahoma"/>
          <w:sz w:val="24"/>
          <w:szCs w:val="24"/>
        </w:rPr>
      </w:pPr>
      <w:r>
        <w:rPr>
          <w:rFonts w:ascii="Tahoma" w:hAnsi="Tahoma" w:cs="Tahoma"/>
          <w:sz w:val="24"/>
          <w:szCs w:val="24"/>
        </w:rPr>
        <w:t>Questions and Answers</w:t>
      </w:r>
    </w:p>
    <w:p w14:paraId="02D634A2" w14:textId="77777777" w:rsidR="0071316B" w:rsidRPr="00FD4E89" w:rsidRDefault="0071316B" w:rsidP="00DC1A25">
      <w:pPr>
        <w:pStyle w:val="Tekstpodstawowywcity"/>
        <w:ind w:left="2160" w:hanging="2160"/>
        <w:rPr>
          <w:rFonts w:ascii="Tahoma" w:hAnsi="Tahoma" w:cs="Tahoma"/>
          <w:sz w:val="24"/>
        </w:rPr>
      </w:pPr>
    </w:p>
    <w:p w14:paraId="6EADD2F0" w14:textId="77777777" w:rsidR="0071316B" w:rsidRPr="00FD4E89" w:rsidRDefault="0071316B" w:rsidP="0071316B">
      <w:pPr>
        <w:spacing w:after="0"/>
        <w:ind w:left="2160" w:hanging="2160"/>
        <w:jc w:val="both"/>
        <w:rPr>
          <w:rFonts w:ascii="Tahoma" w:hAnsi="Tahoma" w:cs="Tahoma"/>
          <w:b/>
          <w:sz w:val="12"/>
        </w:rPr>
      </w:pPr>
    </w:p>
    <w:p w14:paraId="1D8221DA" w14:textId="77777777" w:rsidR="0071316B" w:rsidRPr="00FD4E89" w:rsidRDefault="0071316B" w:rsidP="0071316B">
      <w:pPr>
        <w:pStyle w:val="Tekstpodstawowywcity"/>
        <w:ind w:left="2160" w:hanging="2160"/>
        <w:rPr>
          <w:rFonts w:ascii="Tahoma" w:hAnsi="Tahoma" w:cs="Tahoma"/>
          <w:sz w:val="24"/>
        </w:rPr>
      </w:pPr>
      <w:r w:rsidRPr="00FD4E89">
        <w:rPr>
          <w:rFonts w:ascii="Tahoma" w:hAnsi="Tahoma" w:cs="Tahoma"/>
          <w:b w:val="0"/>
          <w:sz w:val="24"/>
        </w:rPr>
        <w:t xml:space="preserve">16:30 – 17:00 </w:t>
      </w:r>
      <w:r w:rsidRPr="00FD4E89">
        <w:rPr>
          <w:rFonts w:ascii="Tahoma" w:hAnsi="Tahoma" w:cs="Tahoma"/>
          <w:b w:val="0"/>
          <w:sz w:val="24"/>
        </w:rPr>
        <w:tab/>
      </w:r>
      <w:r w:rsidRPr="00FD4E89">
        <w:rPr>
          <w:rStyle w:val="Pogrubienie"/>
          <w:rFonts w:ascii="Tahoma" w:hAnsi="Tahoma" w:cs="Tahoma"/>
          <w:b/>
          <w:sz w:val="24"/>
        </w:rPr>
        <w:t>Closing remarks &amp; Closing Ceremony</w:t>
      </w:r>
    </w:p>
    <w:p w14:paraId="24595887" w14:textId="77777777" w:rsidR="0071316B" w:rsidRPr="00FD4E89" w:rsidRDefault="0071316B" w:rsidP="00E65BBB">
      <w:pPr>
        <w:pStyle w:val="Tekstpodstawowywcity"/>
        <w:ind w:left="2160" w:hanging="2160"/>
        <w:rPr>
          <w:rFonts w:ascii="Tahoma" w:hAnsi="Tahoma" w:cs="Tahoma"/>
          <w:sz w:val="24"/>
        </w:rPr>
      </w:pPr>
    </w:p>
    <w:p w14:paraId="12A5EC97" w14:textId="77777777" w:rsidR="0071316B" w:rsidRPr="00FD4E89" w:rsidRDefault="0071316B" w:rsidP="00E65BBB">
      <w:pPr>
        <w:pStyle w:val="Tekstpodstawowywcity"/>
        <w:ind w:left="2160" w:hanging="2160"/>
        <w:rPr>
          <w:rFonts w:ascii="Tahoma" w:hAnsi="Tahoma" w:cs="Tahoma"/>
          <w:sz w:val="24"/>
        </w:rPr>
      </w:pPr>
    </w:p>
    <w:p w14:paraId="02722384" w14:textId="77777777" w:rsidR="001606E8" w:rsidRDefault="001606E8" w:rsidP="000F7E8E">
      <w:pPr>
        <w:pStyle w:val="Tekstpodstawowywcity"/>
        <w:ind w:left="2160" w:hanging="2160"/>
        <w:rPr>
          <w:rFonts w:ascii="Tahoma" w:hAnsi="Tahoma" w:cs="Tahoma"/>
          <w:sz w:val="24"/>
        </w:rPr>
      </w:pPr>
      <w:r>
        <w:rPr>
          <w:rFonts w:ascii="Tahoma" w:hAnsi="Tahoma" w:cs="Tahoma"/>
          <w:sz w:val="24"/>
        </w:rPr>
        <w:t xml:space="preserve"> </w:t>
      </w:r>
    </w:p>
    <w:p w14:paraId="6FC93D71" w14:textId="77777777" w:rsidR="0071316B" w:rsidRDefault="0071316B" w:rsidP="000F7E8E">
      <w:pPr>
        <w:pStyle w:val="Tekstpodstawowywcity"/>
        <w:ind w:left="2160" w:hanging="2160"/>
        <w:rPr>
          <w:rFonts w:ascii="Tahoma" w:hAnsi="Tahoma" w:cs="Tahoma"/>
          <w:sz w:val="24"/>
        </w:rPr>
      </w:pPr>
    </w:p>
    <w:p w14:paraId="164704A1" w14:textId="77777777" w:rsidR="00DA62CD" w:rsidRDefault="00DA62CD" w:rsidP="000F7E8E">
      <w:pPr>
        <w:pStyle w:val="Tekstpodstawowywcity"/>
        <w:ind w:left="2160" w:hanging="2160"/>
        <w:rPr>
          <w:rFonts w:ascii="Tahoma" w:hAnsi="Tahoma" w:cs="Tahoma"/>
          <w:sz w:val="24"/>
        </w:rPr>
      </w:pPr>
    </w:p>
    <w:p w14:paraId="3D89402C" w14:textId="77777777" w:rsidR="00CD7009" w:rsidRDefault="00CD7009" w:rsidP="00CD7009">
      <w:pPr>
        <w:pStyle w:val="Nagwek1"/>
        <w:ind w:left="-5"/>
        <w:rPr>
          <w:lang w:val="en-GB" w:eastAsia="en-GB"/>
        </w:rPr>
      </w:pPr>
      <w:r>
        <w:rPr>
          <w:noProof/>
          <w:lang w:val="pl-PL" w:eastAsia="pl-PL"/>
        </w:rPr>
        <w:drawing>
          <wp:anchor distT="0" distB="0" distL="114300" distR="114300" simplePos="0" relativeHeight="251659264" behindDoc="0" locked="0" layoutInCell="1" allowOverlap="1" wp14:anchorId="0118BDD1" wp14:editId="2D36B213">
            <wp:simplePos x="0" y="0"/>
            <wp:positionH relativeFrom="column">
              <wp:posOffset>20955</wp:posOffset>
            </wp:positionH>
            <wp:positionV relativeFrom="paragraph">
              <wp:posOffset>86995</wp:posOffset>
            </wp:positionV>
            <wp:extent cx="1304925" cy="1662430"/>
            <wp:effectExtent l="19050" t="19050" r="28575" b="13970"/>
            <wp:wrapSquare wrapText="bothSides"/>
            <wp:docPr id="2" name="Obrázek 2"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t xml:space="preserve">COURSE FACILITATOR </w:t>
      </w:r>
    </w:p>
    <w:p w14:paraId="556FADDA" w14:textId="77777777" w:rsidR="00CD7009" w:rsidRPr="00CD7009" w:rsidRDefault="00CD7009" w:rsidP="00CD7009">
      <w:pPr>
        <w:spacing w:before="60" w:after="60"/>
        <w:jc w:val="both"/>
        <w:rPr>
          <w:rFonts w:ascii="Arial" w:hAnsi="Arial" w:cs="Arial"/>
        </w:rPr>
      </w:pPr>
      <w:r w:rsidRPr="00CD7009">
        <w:rPr>
          <w:rFonts w:ascii="Arial" w:hAnsi="Arial" w:cs="Arial"/>
        </w:rPr>
        <w:t xml:space="preserve">Mr. Andrle, BSc., LL.M is a </w:t>
      </w:r>
      <w:r w:rsidRPr="00CD7009">
        <w:rPr>
          <w:rFonts w:ascii="Arial" w:hAnsi="Arial" w:cs="Arial"/>
          <w:b/>
        </w:rPr>
        <w:t>Secretary to the Banking Commission of ICC Czech Republic</w:t>
      </w:r>
      <w:r w:rsidRPr="00CD7009">
        <w:rPr>
          <w:rFonts w:ascii="Arial" w:hAnsi="Arial" w:cs="Arial"/>
        </w:rPr>
        <w:t xml:space="preserve"> which he regularly represents at the ICC Banking Commission meetings abroad. He chaired the working groups of ICC CR which revised translations of UCP 500, UCP 600, </w:t>
      </w:r>
      <w:proofErr w:type="spellStart"/>
      <w:r w:rsidRPr="00CD7009">
        <w:rPr>
          <w:rFonts w:ascii="Arial" w:hAnsi="Arial" w:cs="Arial"/>
        </w:rPr>
        <w:t>eUCP</w:t>
      </w:r>
      <w:proofErr w:type="spellEnd"/>
      <w:r w:rsidRPr="00CD7009">
        <w:rPr>
          <w:rFonts w:ascii="Arial" w:hAnsi="Arial" w:cs="Arial"/>
        </w:rPr>
        <w:t>, ISP98, URDG 758 and other Banking Commission documents as well as Incoterms 2010 into Czech language.</w:t>
      </w:r>
    </w:p>
    <w:p w14:paraId="386D642E" w14:textId="77777777" w:rsidR="00CD7009" w:rsidRPr="00CD7009" w:rsidRDefault="00CD7009" w:rsidP="00CD7009">
      <w:pPr>
        <w:pStyle w:val="Tekstpodstawowy"/>
        <w:spacing w:before="60" w:after="60" w:line="240" w:lineRule="auto"/>
        <w:jc w:val="both"/>
        <w:rPr>
          <w:rFonts w:ascii="Arial" w:hAnsi="Arial" w:cs="Arial"/>
        </w:rPr>
      </w:pPr>
      <w:r w:rsidRPr="00CD7009">
        <w:rPr>
          <w:rFonts w:ascii="Arial" w:hAnsi="Arial" w:cs="Arial"/>
        </w:rPr>
        <w:t xml:space="preserve">He has been deeply involved in the revision of UCP as </w:t>
      </w:r>
      <w:r w:rsidRPr="00CD7009">
        <w:rPr>
          <w:rFonts w:ascii="Arial" w:hAnsi="Arial" w:cs="Arial"/>
          <w:b/>
        </w:rPr>
        <w:t>a member of UCP 600 Consulting group</w:t>
      </w:r>
      <w:r w:rsidRPr="00CD7009">
        <w:rPr>
          <w:rFonts w:ascii="Arial" w:hAnsi="Arial" w:cs="Arial"/>
        </w:rPr>
        <w:t xml:space="preserve"> being formed by over forty experts from all over the world.</w:t>
      </w:r>
    </w:p>
    <w:p w14:paraId="57A90656" w14:textId="77777777" w:rsidR="00CD7009" w:rsidRPr="00CD7009" w:rsidRDefault="00CD7009" w:rsidP="00CD7009">
      <w:pPr>
        <w:pStyle w:val="Tekstpodstawowy"/>
        <w:spacing w:before="60" w:after="60" w:line="240" w:lineRule="auto"/>
        <w:jc w:val="both"/>
        <w:rPr>
          <w:rFonts w:ascii="Arial" w:hAnsi="Arial" w:cs="Arial"/>
          <w:b/>
          <w:bCs/>
        </w:rPr>
      </w:pPr>
      <w:r w:rsidRPr="00CD7009">
        <w:rPr>
          <w:rFonts w:ascii="Arial" w:hAnsi="Arial" w:cs="Arial"/>
        </w:rPr>
        <w:t xml:space="preserve">He was involved in development of URBPO as a </w:t>
      </w:r>
      <w:r w:rsidRPr="00CD7009">
        <w:rPr>
          <w:rFonts w:ascii="Arial" w:hAnsi="Arial" w:cs="Arial"/>
          <w:bCs/>
        </w:rPr>
        <w:t>member of the ICC Banking Commission</w:t>
      </w:r>
      <w:r w:rsidRPr="00CD7009">
        <w:rPr>
          <w:rFonts w:ascii="Arial" w:hAnsi="Arial" w:cs="Arial"/>
          <w:b/>
          <w:bCs/>
        </w:rPr>
        <w:t xml:space="preserve"> Consulting group on BPO. </w:t>
      </w:r>
      <w:r w:rsidRPr="00CD7009">
        <w:rPr>
          <w:rFonts w:ascii="Arial" w:hAnsi="Arial" w:cs="Arial"/>
          <w:bCs/>
        </w:rPr>
        <w:t xml:space="preserve">Nowadays, he is a member of ICC </w:t>
      </w:r>
      <w:r w:rsidRPr="00CD7009">
        <w:rPr>
          <w:rFonts w:ascii="Arial" w:hAnsi="Arial" w:cs="Arial"/>
          <w:b/>
          <w:bCs/>
        </w:rPr>
        <w:t>Task Force on Guarantees</w:t>
      </w:r>
      <w:r w:rsidRPr="00CD7009">
        <w:rPr>
          <w:rFonts w:ascii="Arial" w:hAnsi="Arial" w:cs="Arial"/>
          <w:bCs/>
        </w:rPr>
        <w:t xml:space="preserve">, also a member of the new ICC Banking </w:t>
      </w:r>
      <w:r w:rsidRPr="00CD7009">
        <w:rPr>
          <w:rFonts w:ascii="Arial" w:hAnsi="Arial" w:cs="Arial"/>
          <w:b/>
          <w:bCs/>
        </w:rPr>
        <w:t>Commission Consulting group for Forfaiting</w:t>
      </w:r>
      <w:r w:rsidRPr="00CD7009">
        <w:rPr>
          <w:rFonts w:ascii="Arial" w:hAnsi="Arial" w:cs="Arial"/>
          <w:bCs/>
        </w:rPr>
        <w:t xml:space="preserve"> (which developed the new ICC rules for Forfaiting in cooperation with former IFA, today´s ITFA).</w:t>
      </w:r>
      <w:r w:rsidRPr="00CD7009">
        <w:rPr>
          <w:rFonts w:ascii="Arial" w:hAnsi="Arial" w:cs="Arial"/>
          <w:b/>
          <w:bCs/>
        </w:rPr>
        <w:t xml:space="preserve"> In years 2010-2011 he also served as a member of the ICC Banking Commission Group of Experts which drafted the official ICC Banking Commission Opinions on ICC Rules. </w:t>
      </w:r>
    </w:p>
    <w:p w14:paraId="0A64F1FA" w14:textId="77777777" w:rsidR="00CD7009" w:rsidRPr="00CD7009" w:rsidRDefault="00CD7009" w:rsidP="00CD7009">
      <w:pPr>
        <w:pStyle w:val="Tekstpodstawowy"/>
        <w:spacing w:before="60" w:after="60" w:line="240" w:lineRule="auto"/>
        <w:jc w:val="both"/>
        <w:rPr>
          <w:rFonts w:ascii="Arial" w:hAnsi="Arial" w:cs="Arial"/>
          <w:b/>
          <w:szCs w:val="20"/>
        </w:rPr>
      </w:pPr>
      <w:r w:rsidRPr="00CD7009">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In October 2014, Mr. Andrle was appointed as a </w:t>
      </w:r>
      <w:r w:rsidRPr="00CD7009">
        <w:rPr>
          <w:rFonts w:ascii="Arial" w:hAnsi="Arial" w:cs="Arial"/>
          <w:b/>
          <w:szCs w:val="20"/>
        </w:rPr>
        <w:t xml:space="preserve">Secretary to the Commission on Commercial Law and Practice of ICC Czech Republic. </w:t>
      </w:r>
    </w:p>
    <w:p w14:paraId="5DA3CA67" w14:textId="77777777" w:rsidR="00CD7009" w:rsidRPr="00CD7009" w:rsidRDefault="00CD7009" w:rsidP="00CD7009">
      <w:pPr>
        <w:pStyle w:val="Tekstpodstawowy"/>
        <w:spacing w:before="60" w:after="60" w:line="240" w:lineRule="auto"/>
        <w:jc w:val="both"/>
        <w:rPr>
          <w:rFonts w:ascii="Arial" w:hAnsi="Arial" w:cs="Arial"/>
          <w:bCs/>
        </w:rPr>
      </w:pPr>
      <w:r w:rsidRPr="00CD7009">
        <w:rPr>
          <w:rFonts w:ascii="Arial" w:hAnsi="Arial" w:cs="Arial"/>
        </w:rPr>
        <w:t xml:space="preserve">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 and chambers of commerce world-wide.  </w:t>
      </w:r>
    </w:p>
    <w:p w14:paraId="6F98AF4D" w14:textId="77777777" w:rsidR="00CD7009" w:rsidRPr="00CD7009" w:rsidRDefault="00CD7009" w:rsidP="00CD7009">
      <w:pPr>
        <w:pStyle w:val="Tekstpodstawowy"/>
        <w:widowControl w:val="0"/>
        <w:spacing w:before="60" w:after="60" w:line="240" w:lineRule="auto"/>
        <w:jc w:val="both"/>
        <w:rPr>
          <w:rFonts w:ascii="Arial" w:hAnsi="Arial" w:cs="Arial"/>
        </w:rPr>
      </w:pPr>
      <w:r w:rsidRPr="00CD7009">
        <w:rPr>
          <w:rFonts w:ascii="Arial" w:hAnsi="Arial" w:cs="Arial"/>
        </w:rPr>
        <w:t>Mr. Andrle has conducted seminars held in more than 55 countries of the world, among them: Bangladesh, Cambodia, Vietnam, India, Sri Lanka, Nepal, China, Philippines, Singapore, Sierra Leone, Zambia, Uganda, Ghana, South Africa, Nigeria, Albania, Poland, Serbia, Bulgaria, Romania, Slovakia, U.</w:t>
      </w:r>
      <w:r w:rsidRPr="00CD7009">
        <w:rPr>
          <w:rFonts w:ascii="Arial" w:hAnsi="Arial" w:cs="Arial"/>
          <w:smallCaps/>
        </w:rPr>
        <w:t xml:space="preserve">K., </w:t>
      </w:r>
      <w:r w:rsidRPr="00CD7009">
        <w:rPr>
          <w:rFonts w:ascii="Arial" w:hAnsi="Arial" w:cs="Arial"/>
        </w:rPr>
        <w:t xml:space="preserve"> Ireland, Lithuania, Latvia, Malta, Georgia, Croatia, Turkey, Russia, Mongolia, Uzbekistan, Azerbaijan, UAE, Trinidad and Tobago, Dominica, etc. He is author of the publication </w:t>
      </w:r>
      <w:r w:rsidRPr="00CD7009">
        <w:rPr>
          <w:rFonts w:ascii="Arial" w:hAnsi="Arial" w:cs="Arial"/>
          <w:i/>
          <w:iCs/>
        </w:rPr>
        <w:t>„Documentary Credits – a Practical Guide</w:t>
      </w:r>
      <w:r w:rsidRPr="00CD7009">
        <w:rPr>
          <w:rFonts w:ascii="Arial" w:hAnsi="Arial" w:cs="Arial"/>
        </w:rPr>
        <w:t xml:space="preserve">“ published by Grada Publishing, </w:t>
      </w:r>
      <w:proofErr w:type="spellStart"/>
      <w:r w:rsidRPr="00CD7009">
        <w:rPr>
          <w:rFonts w:ascii="Arial" w:hAnsi="Arial" w:cs="Arial"/>
        </w:rPr>
        <w:t>a.s.</w:t>
      </w:r>
      <w:proofErr w:type="spellEnd"/>
      <w:r w:rsidRPr="00CD7009">
        <w:rPr>
          <w:rFonts w:ascii="Arial" w:hAnsi="Arial" w:cs="Arial"/>
        </w:rPr>
        <w:t xml:space="preserve"> (6 editions). He has written a </w:t>
      </w:r>
      <w:r w:rsidRPr="00CD7009">
        <w:rPr>
          <w:rFonts w:ascii="Arial" w:hAnsi="Arial" w:cs="Arial"/>
          <w:i/>
          <w:iCs/>
        </w:rPr>
        <w:t>„Commentary to UCP500 in the light of ISBP and other ICC Banking Commission documents“</w:t>
      </w:r>
      <w:r w:rsidRPr="00CD7009">
        <w:rPr>
          <w:rFonts w:ascii="Arial" w:hAnsi="Arial" w:cs="Arial"/>
        </w:rPr>
        <w:t xml:space="preserve"> and </w:t>
      </w:r>
      <w:r w:rsidRPr="00CD7009">
        <w:rPr>
          <w:rFonts w:ascii="Arial" w:hAnsi="Arial" w:cs="Arial"/>
          <w:i/>
          <w:iCs/>
        </w:rPr>
        <w:t xml:space="preserve">„Commentary to UCP600” </w:t>
      </w:r>
      <w:r w:rsidRPr="00CD7009">
        <w:rPr>
          <w:rFonts w:ascii="Arial" w:hAnsi="Arial" w:cs="Arial"/>
        </w:rPr>
        <w:t xml:space="preserve">published by ICC CR (all in Czech language). Recently his book on </w:t>
      </w:r>
      <w:r w:rsidRPr="00CD7009">
        <w:rPr>
          <w:rFonts w:ascii="Arial" w:hAnsi="Arial" w:cs="Arial"/>
          <w:b/>
          <w:i/>
        </w:rPr>
        <w:t>“Examination of documents under Documentary Credits</w:t>
      </w:r>
      <w:r w:rsidRPr="00CD7009">
        <w:rPr>
          <w:rFonts w:ascii="Arial" w:hAnsi="Arial" w:cs="Arial"/>
          <w:b/>
        </w:rPr>
        <w:t>”</w:t>
      </w:r>
      <w:r w:rsidRPr="00CD7009">
        <w:rPr>
          <w:rFonts w:ascii="Arial" w:hAnsi="Arial" w:cs="Arial"/>
        </w:rPr>
        <w:t xml:space="preserve"> has been published in the second updated edition (in English language). </w:t>
      </w:r>
    </w:p>
    <w:p w14:paraId="4F8A0DAA" w14:textId="77777777" w:rsidR="00CD7009" w:rsidRPr="00CD7009" w:rsidRDefault="00CD7009" w:rsidP="00CD7009">
      <w:pPr>
        <w:pStyle w:val="Tekstpodstawowy"/>
        <w:widowControl w:val="0"/>
        <w:spacing w:before="60" w:after="60" w:line="240" w:lineRule="auto"/>
        <w:jc w:val="both"/>
        <w:rPr>
          <w:rFonts w:ascii="Arial" w:hAnsi="Arial" w:cs="Arial"/>
        </w:rPr>
      </w:pPr>
      <w:r w:rsidRPr="00CD7009">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7E3B13C9" w14:textId="77777777" w:rsidR="00CD7009" w:rsidRPr="00CD7009" w:rsidRDefault="00CD7009" w:rsidP="00CD7009">
      <w:pPr>
        <w:spacing w:before="60" w:after="60"/>
        <w:jc w:val="both"/>
        <w:rPr>
          <w:rFonts w:ascii="Arial" w:hAnsi="Arial" w:cs="Arial"/>
          <w:bCs/>
        </w:rPr>
      </w:pPr>
      <w:r w:rsidRPr="00CD7009">
        <w:rPr>
          <w:rFonts w:ascii="Arial" w:hAnsi="Arial" w:cs="Arial"/>
          <w:bCs/>
        </w:rPr>
        <w:t xml:space="preserve">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 </w:t>
      </w:r>
    </w:p>
    <w:p w14:paraId="3B730ED7" w14:textId="77777777" w:rsidR="00CD7009" w:rsidRPr="00CD7009" w:rsidRDefault="00CD7009" w:rsidP="00CD7009">
      <w:pPr>
        <w:spacing w:before="60" w:after="60"/>
        <w:jc w:val="both"/>
        <w:rPr>
          <w:rFonts w:ascii="Arial" w:hAnsi="Arial" w:cs="Arial"/>
          <w:bCs/>
        </w:rPr>
      </w:pPr>
      <w:r w:rsidRPr="00CD7009">
        <w:rPr>
          <w:rFonts w:ascii="Arial" w:hAnsi="Arial" w:cs="Arial"/>
          <w:bCs/>
        </w:rPr>
        <w:t xml:space="preserve">In November 2018 he joined DCW (Documentary Credit World, the world leading magazine on documentary credits, standbys and guarantees) Editorial Advisory Board. </w:t>
      </w:r>
    </w:p>
    <w:p w14:paraId="480D1BA8" w14:textId="77777777" w:rsidR="00CD7009" w:rsidRPr="00CD7009" w:rsidRDefault="00CD7009" w:rsidP="00CD7009">
      <w:pPr>
        <w:spacing w:before="60" w:after="60"/>
        <w:jc w:val="both"/>
        <w:rPr>
          <w:rFonts w:ascii="Arial" w:hAnsi="Arial" w:cs="Arial"/>
          <w:b/>
          <w:bCs/>
          <w:lang w:eastAsia="cs-CZ" w:bidi="hi-IN"/>
        </w:rPr>
      </w:pPr>
      <w:r w:rsidRPr="00CD7009">
        <w:rPr>
          <w:rFonts w:ascii="Arial" w:hAnsi="Arial" w:cs="Arial"/>
        </w:rPr>
        <w:t xml:space="preserve">Mr. Andrle also serves at the lead tutor in the Finance of International Trade with the </w:t>
      </w:r>
      <w:r w:rsidRPr="00CD7009">
        <w:rPr>
          <w:rFonts w:ascii="Arial" w:hAnsi="Arial" w:cs="Arial"/>
          <w:i/>
        </w:rPr>
        <w:t>electronic</w:t>
      </w:r>
      <w:r w:rsidRPr="00CD7009">
        <w:rPr>
          <w:rFonts w:ascii="Arial" w:hAnsi="Arial" w:cs="Arial"/>
        </w:rPr>
        <w:t xml:space="preserve"> Business School International. </w:t>
      </w:r>
      <w:r w:rsidRPr="00CD7009">
        <w:rPr>
          <w:rFonts w:ascii="Arial" w:hAnsi="Arial" w:cs="Arial"/>
          <w:lang w:val="en-IE"/>
        </w:rPr>
        <w:t xml:space="preserve">Mr. Pavel Andrle can be contacted at </w:t>
      </w:r>
      <w:hyperlink r:id="rId8" w:history="1">
        <w:r w:rsidRPr="00CD7009">
          <w:rPr>
            <w:rStyle w:val="Hipercze"/>
            <w:rFonts w:ascii="Arial" w:hAnsi="Arial" w:cs="Arial"/>
            <w:lang w:val="en-IE"/>
          </w:rPr>
          <w:t>pa@cmail.cz</w:t>
        </w:r>
      </w:hyperlink>
      <w:r w:rsidRPr="00CD7009">
        <w:rPr>
          <w:rFonts w:ascii="Arial" w:hAnsi="Arial" w:cs="Arial"/>
          <w:lang w:val="en-IE"/>
        </w:rPr>
        <w:t xml:space="preserve"> or </w:t>
      </w:r>
      <w:hyperlink r:id="rId9" w:history="1">
        <w:r w:rsidRPr="00CD7009">
          <w:rPr>
            <w:rStyle w:val="Hipercze"/>
            <w:rFonts w:ascii="Arial" w:hAnsi="Arial" w:cs="Arial"/>
            <w:lang w:val="en-IE"/>
          </w:rPr>
          <w:t>andrle@icc-cr.cz</w:t>
        </w:r>
      </w:hyperlink>
      <w:r w:rsidRPr="00CD7009">
        <w:rPr>
          <w:rFonts w:ascii="Arial" w:hAnsi="Arial" w:cs="Arial"/>
          <w:lang w:val="en-IE"/>
        </w:rPr>
        <w:t xml:space="preserve"> </w:t>
      </w:r>
    </w:p>
    <w:p w14:paraId="39EAD5CC" w14:textId="77777777" w:rsidR="008326B8" w:rsidRPr="00CD7009" w:rsidRDefault="008326B8" w:rsidP="00CD7009">
      <w:pPr>
        <w:pStyle w:val="NormalnyWeb"/>
        <w:spacing w:before="0" w:beforeAutospacing="0" w:after="0" w:afterAutospacing="0"/>
        <w:rPr>
          <w:rFonts w:ascii="Arial" w:hAnsi="Arial" w:cs="Arial"/>
          <w:b/>
          <w:color w:val="002060"/>
          <w:sz w:val="8"/>
          <w:szCs w:val="10"/>
          <w:lang w:val="en-US"/>
        </w:rPr>
      </w:pPr>
    </w:p>
    <w:sectPr w:rsidR="008326B8" w:rsidRPr="00CD7009" w:rsidSect="00A2065C">
      <w:pgSz w:w="12240" w:h="15840"/>
      <w:pgMar w:top="719" w:right="851" w:bottom="1134" w:left="113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DBE7" w14:textId="77777777" w:rsidR="00A2065C" w:rsidRDefault="00A2065C" w:rsidP="003C5188">
      <w:pPr>
        <w:spacing w:after="0" w:line="240" w:lineRule="auto"/>
      </w:pPr>
      <w:r>
        <w:separator/>
      </w:r>
    </w:p>
  </w:endnote>
  <w:endnote w:type="continuationSeparator" w:id="0">
    <w:p w14:paraId="6772E177" w14:textId="77777777" w:rsidR="00A2065C" w:rsidRDefault="00A2065C"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D567" w14:textId="77777777" w:rsidR="00A2065C" w:rsidRDefault="00A2065C" w:rsidP="003C5188">
      <w:pPr>
        <w:spacing w:after="0" w:line="240" w:lineRule="auto"/>
      </w:pPr>
      <w:r>
        <w:separator/>
      </w:r>
    </w:p>
  </w:footnote>
  <w:footnote w:type="continuationSeparator" w:id="0">
    <w:p w14:paraId="70EBCC8A" w14:textId="77777777" w:rsidR="00A2065C" w:rsidRDefault="00A2065C" w:rsidP="003C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68C"/>
    <w:multiLevelType w:val="hybridMultilevel"/>
    <w:tmpl w:val="E772A46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30C3E"/>
    <w:multiLevelType w:val="hybridMultilevel"/>
    <w:tmpl w:val="8F08C2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5"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8516F"/>
    <w:multiLevelType w:val="hybridMultilevel"/>
    <w:tmpl w:val="A93611B2"/>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3EA436B"/>
    <w:multiLevelType w:val="hybridMultilevel"/>
    <w:tmpl w:val="35C8AF84"/>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34D1125"/>
    <w:multiLevelType w:val="hybridMultilevel"/>
    <w:tmpl w:val="B19C46E6"/>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B23FE"/>
    <w:multiLevelType w:val="hybridMultilevel"/>
    <w:tmpl w:val="085283D4"/>
    <w:lvl w:ilvl="0" w:tplc="04050003">
      <w:start w:val="1"/>
      <w:numFmt w:val="bullet"/>
      <w:lvlText w:val="o"/>
      <w:lvlJc w:val="left"/>
      <w:pPr>
        <w:ind w:left="2520" w:hanging="360"/>
      </w:pPr>
      <w:rPr>
        <w:rFonts w:ascii="Courier New" w:hAnsi="Courier New" w:cs="Courier New"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47F94C19"/>
    <w:multiLevelType w:val="hybridMultilevel"/>
    <w:tmpl w:val="7BF28F5A"/>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9C94874"/>
    <w:multiLevelType w:val="hybridMultilevel"/>
    <w:tmpl w:val="843C903A"/>
    <w:lvl w:ilvl="0" w:tplc="04050003">
      <w:start w:val="1"/>
      <w:numFmt w:val="bullet"/>
      <w:lvlText w:val="o"/>
      <w:lvlJc w:val="left"/>
      <w:pPr>
        <w:ind w:left="3552" w:hanging="360"/>
      </w:pPr>
      <w:rPr>
        <w:rFonts w:ascii="Courier New" w:hAnsi="Courier New" w:cs="Courier New"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15" w15:restartNumberingAfterBreak="0">
    <w:nsid w:val="6B697797"/>
    <w:multiLevelType w:val="hybridMultilevel"/>
    <w:tmpl w:val="3C5AB808"/>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num w:numId="1" w16cid:durableId="1370494074">
    <w:abstractNumId w:val="10"/>
  </w:num>
  <w:num w:numId="2" w16cid:durableId="245459145">
    <w:abstractNumId w:val="0"/>
  </w:num>
  <w:num w:numId="3" w16cid:durableId="1197423813">
    <w:abstractNumId w:val="12"/>
  </w:num>
  <w:num w:numId="4" w16cid:durableId="1251620014">
    <w:abstractNumId w:val="14"/>
  </w:num>
  <w:num w:numId="5" w16cid:durableId="1734959548">
    <w:abstractNumId w:val="2"/>
  </w:num>
  <w:num w:numId="6" w16cid:durableId="1867795245">
    <w:abstractNumId w:val="5"/>
  </w:num>
  <w:num w:numId="7" w16cid:durableId="1807314934">
    <w:abstractNumId w:val="8"/>
  </w:num>
  <w:num w:numId="8" w16cid:durableId="147941064">
    <w:abstractNumId w:val="13"/>
  </w:num>
  <w:num w:numId="9" w16cid:durableId="156728465">
    <w:abstractNumId w:val="4"/>
  </w:num>
  <w:num w:numId="10" w16cid:durableId="539319633">
    <w:abstractNumId w:val="16"/>
  </w:num>
  <w:num w:numId="11" w16cid:durableId="197011148">
    <w:abstractNumId w:val="6"/>
  </w:num>
  <w:num w:numId="12" w16cid:durableId="42292454">
    <w:abstractNumId w:val="9"/>
  </w:num>
  <w:num w:numId="13" w16cid:durableId="1190725759">
    <w:abstractNumId w:val="3"/>
  </w:num>
  <w:num w:numId="14" w16cid:durableId="636450672">
    <w:abstractNumId w:val="15"/>
  </w:num>
  <w:num w:numId="15" w16cid:durableId="1503164360">
    <w:abstractNumId w:val="7"/>
  </w:num>
  <w:num w:numId="16" w16cid:durableId="822551575">
    <w:abstractNumId w:val="11"/>
  </w:num>
  <w:num w:numId="17" w16cid:durableId="57031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8C"/>
    <w:rsid w:val="00003671"/>
    <w:rsid w:val="0000491E"/>
    <w:rsid w:val="00005E39"/>
    <w:rsid w:val="00012BB9"/>
    <w:rsid w:val="000238A5"/>
    <w:rsid w:val="00036ED1"/>
    <w:rsid w:val="000438D2"/>
    <w:rsid w:val="00044068"/>
    <w:rsid w:val="00062BC8"/>
    <w:rsid w:val="00066109"/>
    <w:rsid w:val="00067AA2"/>
    <w:rsid w:val="00070AEB"/>
    <w:rsid w:val="000721C8"/>
    <w:rsid w:val="00074920"/>
    <w:rsid w:val="000A4CF8"/>
    <w:rsid w:val="000B235F"/>
    <w:rsid w:val="000C3E09"/>
    <w:rsid w:val="000E24F6"/>
    <w:rsid w:val="000F7E8E"/>
    <w:rsid w:val="0012125E"/>
    <w:rsid w:val="0013108B"/>
    <w:rsid w:val="00143E7C"/>
    <w:rsid w:val="0014608F"/>
    <w:rsid w:val="0015489D"/>
    <w:rsid w:val="001606E8"/>
    <w:rsid w:val="001741F1"/>
    <w:rsid w:val="00174F0E"/>
    <w:rsid w:val="001A7D96"/>
    <w:rsid w:val="001C24FB"/>
    <w:rsid w:val="001C5A27"/>
    <w:rsid w:val="001D791C"/>
    <w:rsid w:val="001F194E"/>
    <w:rsid w:val="001F631B"/>
    <w:rsid w:val="0021224F"/>
    <w:rsid w:val="00220CC0"/>
    <w:rsid w:val="002256D1"/>
    <w:rsid w:val="002256E3"/>
    <w:rsid w:val="00232E96"/>
    <w:rsid w:val="00235122"/>
    <w:rsid w:val="002470B1"/>
    <w:rsid w:val="00254671"/>
    <w:rsid w:val="002569BB"/>
    <w:rsid w:val="002625A6"/>
    <w:rsid w:val="002753B0"/>
    <w:rsid w:val="00284CEB"/>
    <w:rsid w:val="00297055"/>
    <w:rsid w:val="002A5110"/>
    <w:rsid w:val="002B611B"/>
    <w:rsid w:val="002D39F9"/>
    <w:rsid w:val="002D5A44"/>
    <w:rsid w:val="002F34BD"/>
    <w:rsid w:val="002F3F1B"/>
    <w:rsid w:val="00315522"/>
    <w:rsid w:val="0032309F"/>
    <w:rsid w:val="0033012C"/>
    <w:rsid w:val="003400AA"/>
    <w:rsid w:val="003408B7"/>
    <w:rsid w:val="00344C5F"/>
    <w:rsid w:val="003604D6"/>
    <w:rsid w:val="00361A0F"/>
    <w:rsid w:val="0037487E"/>
    <w:rsid w:val="00375670"/>
    <w:rsid w:val="00395882"/>
    <w:rsid w:val="003B2A84"/>
    <w:rsid w:val="003B4E04"/>
    <w:rsid w:val="003C5188"/>
    <w:rsid w:val="003C704D"/>
    <w:rsid w:val="003F4B84"/>
    <w:rsid w:val="003F77C4"/>
    <w:rsid w:val="0040792F"/>
    <w:rsid w:val="00426D13"/>
    <w:rsid w:val="00435EEC"/>
    <w:rsid w:val="004444B7"/>
    <w:rsid w:val="004722AE"/>
    <w:rsid w:val="004918E8"/>
    <w:rsid w:val="004A3603"/>
    <w:rsid w:val="004A6A1D"/>
    <w:rsid w:val="004A7043"/>
    <w:rsid w:val="004B580E"/>
    <w:rsid w:val="004B69E4"/>
    <w:rsid w:val="004C1EB0"/>
    <w:rsid w:val="004C7ED6"/>
    <w:rsid w:val="004F4C4A"/>
    <w:rsid w:val="004F543B"/>
    <w:rsid w:val="004F71AA"/>
    <w:rsid w:val="005023DC"/>
    <w:rsid w:val="005103B0"/>
    <w:rsid w:val="00521BDF"/>
    <w:rsid w:val="005248BC"/>
    <w:rsid w:val="005313B8"/>
    <w:rsid w:val="00536567"/>
    <w:rsid w:val="00537345"/>
    <w:rsid w:val="00543566"/>
    <w:rsid w:val="00544074"/>
    <w:rsid w:val="00552302"/>
    <w:rsid w:val="005606CA"/>
    <w:rsid w:val="005A7AF4"/>
    <w:rsid w:val="005B540C"/>
    <w:rsid w:val="005C3389"/>
    <w:rsid w:val="005D1CC2"/>
    <w:rsid w:val="005E72C3"/>
    <w:rsid w:val="005F3063"/>
    <w:rsid w:val="00602E88"/>
    <w:rsid w:val="00605E1C"/>
    <w:rsid w:val="0062719E"/>
    <w:rsid w:val="00627726"/>
    <w:rsid w:val="006358EB"/>
    <w:rsid w:val="0064021F"/>
    <w:rsid w:val="00652D6F"/>
    <w:rsid w:val="00661207"/>
    <w:rsid w:val="00666BC4"/>
    <w:rsid w:val="006879E6"/>
    <w:rsid w:val="006A3BA9"/>
    <w:rsid w:val="006A5AFC"/>
    <w:rsid w:val="006B1DCC"/>
    <w:rsid w:val="006C48E9"/>
    <w:rsid w:val="006D34CF"/>
    <w:rsid w:val="006E07C4"/>
    <w:rsid w:val="006E13D5"/>
    <w:rsid w:val="006E3E28"/>
    <w:rsid w:val="006F5D19"/>
    <w:rsid w:val="00700A5A"/>
    <w:rsid w:val="0071316B"/>
    <w:rsid w:val="00721F95"/>
    <w:rsid w:val="00724001"/>
    <w:rsid w:val="007433D2"/>
    <w:rsid w:val="0075069C"/>
    <w:rsid w:val="00762486"/>
    <w:rsid w:val="00772108"/>
    <w:rsid w:val="00776E1E"/>
    <w:rsid w:val="00787F9B"/>
    <w:rsid w:val="00792CBA"/>
    <w:rsid w:val="007A453C"/>
    <w:rsid w:val="007D490D"/>
    <w:rsid w:val="007E34B6"/>
    <w:rsid w:val="007E6603"/>
    <w:rsid w:val="007F74D1"/>
    <w:rsid w:val="00817B60"/>
    <w:rsid w:val="00825206"/>
    <w:rsid w:val="008326B8"/>
    <w:rsid w:val="0085029A"/>
    <w:rsid w:val="00852467"/>
    <w:rsid w:val="0086030C"/>
    <w:rsid w:val="00870A41"/>
    <w:rsid w:val="008756DC"/>
    <w:rsid w:val="00876240"/>
    <w:rsid w:val="0087630A"/>
    <w:rsid w:val="008B2875"/>
    <w:rsid w:val="008B4B96"/>
    <w:rsid w:val="008B641C"/>
    <w:rsid w:val="008C388B"/>
    <w:rsid w:val="00920F2A"/>
    <w:rsid w:val="00921D7A"/>
    <w:rsid w:val="00943C32"/>
    <w:rsid w:val="00946F8F"/>
    <w:rsid w:val="00956C8F"/>
    <w:rsid w:val="0096069C"/>
    <w:rsid w:val="00962BE9"/>
    <w:rsid w:val="00981BA7"/>
    <w:rsid w:val="009A4AC5"/>
    <w:rsid w:val="009A6703"/>
    <w:rsid w:val="009B178C"/>
    <w:rsid w:val="009C6956"/>
    <w:rsid w:val="009D768E"/>
    <w:rsid w:val="009E535F"/>
    <w:rsid w:val="009E7FAF"/>
    <w:rsid w:val="009F3F32"/>
    <w:rsid w:val="009F4148"/>
    <w:rsid w:val="00A041DF"/>
    <w:rsid w:val="00A11F24"/>
    <w:rsid w:val="00A13497"/>
    <w:rsid w:val="00A2065C"/>
    <w:rsid w:val="00A2296F"/>
    <w:rsid w:val="00A346E8"/>
    <w:rsid w:val="00A43173"/>
    <w:rsid w:val="00A451EE"/>
    <w:rsid w:val="00A55F23"/>
    <w:rsid w:val="00A70553"/>
    <w:rsid w:val="00A77615"/>
    <w:rsid w:val="00A9622C"/>
    <w:rsid w:val="00AA63B5"/>
    <w:rsid w:val="00AB5182"/>
    <w:rsid w:val="00AE6B9D"/>
    <w:rsid w:val="00AF211C"/>
    <w:rsid w:val="00AF5997"/>
    <w:rsid w:val="00AF7E44"/>
    <w:rsid w:val="00B03CAA"/>
    <w:rsid w:val="00B26FCE"/>
    <w:rsid w:val="00B30131"/>
    <w:rsid w:val="00B32B46"/>
    <w:rsid w:val="00B356F2"/>
    <w:rsid w:val="00B41F84"/>
    <w:rsid w:val="00B428A9"/>
    <w:rsid w:val="00B52B2E"/>
    <w:rsid w:val="00B603F1"/>
    <w:rsid w:val="00B6563E"/>
    <w:rsid w:val="00B80998"/>
    <w:rsid w:val="00B866D1"/>
    <w:rsid w:val="00B9246A"/>
    <w:rsid w:val="00BA34B6"/>
    <w:rsid w:val="00BA41EC"/>
    <w:rsid w:val="00BA4FC2"/>
    <w:rsid w:val="00BA5169"/>
    <w:rsid w:val="00BB0966"/>
    <w:rsid w:val="00BB13C7"/>
    <w:rsid w:val="00BD0A30"/>
    <w:rsid w:val="00BF1727"/>
    <w:rsid w:val="00BF55BA"/>
    <w:rsid w:val="00C0596B"/>
    <w:rsid w:val="00C07297"/>
    <w:rsid w:val="00C53CB3"/>
    <w:rsid w:val="00C5459A"/>
    <w:rsid w:val="00C66CF0"/>
    <w:rsid w:val="00C72C7B"/>
    <w:rsid w:val="00C827A0"/>
    <w:rsid w:val="00C871C0"/>
    <w:rsid w:val="00C91DC6"/>
    <w:rsid w:val="00CB3BDF"/>
    <w:rsid w:val="00CC026D"/>
    <w:rsid w:val="00CC5AF3"/>
    <w:rsid w:val="00CD154B"/>
    <w:rsid w:val="00CD51E4"/>
    <w:rsid w:val="00CD7009"/>
    <w:rsid w:val="00CF378A"/>
    <w:rsid w:val="00D00115"/>
    <w:rsid w:val="00D11A30"/>
    <w:rsid w:val="00D135BF"/>
    <w:rsid w:val="00D22177"/>
    <w:rsid w:val="00D22215"/>
    <w:rsid w:val="00D31C46"/>
    <w:rsid w:val="00D35281"/>
    <w:rsid w:val="00D41A44"/>
    <w:rsid w:val="00D44432"/>
    <w:rsid w:val="00D46750"/>
    <w:rsid w:val="00D6057F"/>
    <w:rsid w:val="00D83DB8"/>
    <w:rsid w:val="00DA62CD"/>
    <w:rsid w:val="00DB13FD"/>
    <w:rsid w:val="00DB3081"/>
    <w:rsid w:val="00DC1A25"/>
    <w:rsid w:val="00DC2A86"/>
    <w:rsid w:val="00DF5AD7"/>
    <w:rsid w:val="00E00142"/>
    <w:rsid w:val="00E14372"/>
    <w:rsid w:val="00E17379"/>
    <w:rsid w:val="00E17D40"/>
    <w:rsid w:val="00E2278B"/>
    <w:rsid w:val="00E43798"/>
    <w:rsid w:val="00E57E8C"/>
    <w:rsid w:val="00E62D34"/>
    <w:rsid w:val="00E65BBB"/>
    <w:rsid w:val="00E74A43"/>
    <w:rsid w:val="00E83D2B"/>
    <w:rsid w:val="00E91698"/>
    <w:rsid w:val="00E93C68"/>
    <w:rsid w:val="00EA073D"/>
    <w:rsid w:val="00EA0CBD"/>
    <w:rsid w:val="00EA4A58"/>
    <w:rsid w:val="00EA4E83"/>
    <w:rsid w:val="00ED296E"/>
    <w:rsid w:val="00ED62B9"/>
    <w:rsid w:val="00ED6CDD"/>
    <w:rsid w:val="00EE18B5"/>
    <w:rsid w:val="00F07A34"/>
    <w:rsid w:val="00F14A54"/>
    <w:rsid w:val="00F22EF2"/>
    <w:rsid w:val="00F31175"/>
    <w:rsid w:val="00F402D5"/>
    <w:rsid w:val="00F54202"/>
    <w:rsid w:val="00F71C49"/>
    <w:rsid w:val="00F72A12"/>
    <w:rsid w:val="00F72B91"/>
    <w:rsid w:val="00F77B76"/>
    <w:rsid w:val="00F86108"/>
    <w:rsid w:val="00F92CD8"/>
    <w:rsid w:val="00FA4652"/>
    <w:rsid w:val="00FA51CD"/>
    <w:rsid w:val="00FA5EE7"/>
    <w:rsid w:val="00FB3CB1"/>
    <w:rsid w:val="00FC3EC4"/>
    <w:rsid w:val="00FC46EB"/>
    <w:rsid w:val="00FC620A"/>
    <w:rsid w:val="00FD4E89"/>
    <w:rsid w:val="00FD52BF"/>
    <w:rsid w:val="00FE0995"/>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6AC38"/>
  <w15:docId w15:val="{58F03A6A-820C-45B8-934A-70D0662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875"/>
    <w:pPr>
      <w:spacing w:after="200" w:line="276" w:lineRule="auto"/>
    </w:pPr>
    <w:rPr>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Akapitzlist">
    <w:name w:val="List Paragraph"/>
    <w:basedOn w:val="Normalny"/>
    <w:uiPriority w:val="34"/>
    <w:qFormat/>
    <w:rsid w:val="00AF5997"/>
    <w:pPr>
      <w:spacing w:before="120" w:after="120" w:line="240" w:lineRule="auto"/>
      <w:ind w:left="720"/>
      <w:contextualSpacing/>
    </w:pPr>
    <w:rPr>
      <w:lang w:val="cs-CZ"/>
    </w:rPr>
  </w:style>
  <w:style w:type="character" w:styleId="Hipercze">
    <w:name w:val="Hyperlink"/>
    <w:basedOn w:val="Domylnaczcionkaakapitu"/>
    <w:rsid w:val="00B41F84"/>
    <w:rPr>
      <w:color w:val="0000FF"/>
      <w:u w:val="single"/>
    </w:rPr>
  </w:style>
  <w:style w:type="paragraph" w:styleId="NormalnyWeb">
    <w:name w:val="Normal (Web)"/>
    <w:basedOn w:val="Normalny"/>
    <w:uiPriority w:val="99"/>
    <w:rsid w:val="00E00142"/>
    <w:pPr>
      <w:spacing w:before="100" w:beforeAutospacing="1" w:after="100" w:afterAutospacing="1" w:line="240" w:lineRule="auto"/>
    </w:pPr>
    <w:rPr>
      <w:rFonts w:ascii="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74">
      <w:bodyDiv w:val="1"/>
      <w:marLeft w:val="0"/>
      <w:marRight w:val="0"/>
      <w:marTop w:val="0"/>
      <w:marBottom w:val="0"/>
      <w:divBdr>
        <w:top w:val="none" w:sz="0" w:space="0" w:color="auto"/>
        <w:left w:val="none" w:sz="0" w:space="0" w:color="auto"/>
        <w:bottom w:val="none" w:sz="0" w:space="0" w:color="auto"/>
        <w:right w:val="none" w:sz="0" w:space="0" w:color="auto"/>
      </w:divBdr>
    </w:div>
    <w:div w:id="669020056">
      <w:bodyDiv w:val="1"/>
      <w:marLeft w:val="0"/>
      <w:marRight w:val="0"/>
      <w:marTop w:val="0"/>
      <w:marBottom w:val="0"/>
      <w:divBdr>
        <w:top w:val="none" w:sz="0" w:space="0" w:color="auto"/>
        <w:left w:val="none" w:sz="0" w:space="0" w:color="auto"/>
        <w:bottom w:val="none" w:sz="0" w:space="0" w:color="auto"/>
        <w:right w:val="none" w:sz="0" w:space="0" w:color="auto"/>
      </w:divBdr>
    </w:div>
    <w:div w:id="1306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mail.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le@icc-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4829</Characters>
  <Application>Microsoft Office Word</Application>
  <DocSecurity>0</DocSecurity>
  <Lines>40</Lines>
  <Paragraphs>11</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ICC Georgia is pleased to announce Practical Seminar with a Foreign Speaker on:</vt:lpstr>
      <vt:lpstr>ICC Georgia is pleased to announce Practical Seminar with a Foreign Speaker on:</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Georgia is pleased to announce Practical Seminar with a Foreign Speaker on:</dc:title>
  <dc:creator>User</dc:creator>
  <cp:lastModifiedBy>Paweł Pniewski</cp:lastModifiedBy>
  <cp:revision>2</cp:revision>
  <dcterms:created xsi:type="dcterms:W3CDTF">2024-02-05T13:59:00Z</dcterms:created>
  <dcterms:modified xsi:type="dcterms:W3CDTF">2024-02-05T13:59:00Z</dcterms:modified>
</cp:coreProperties>
</file>